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color w:val="000000"/>
          <w:spacing w:val="-4"/>
          <w:kern w:val="0"/>
          <w:sz w:val="21"/>
          <w:szCs w:val="21"/>
          <w:lang w:val="en-US" w:eastAsia="zh-CN" w:bidi="ar"/>
        </w:rPr>
      </w:pP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baseline"/>
        <w:rPr>
          <w:rFonts w:hint="default" w:ascii="Times New Roman" w:hAnsi="Times New Roman" w:cs="Times New Roman"/>
          <w:spacing w:val="-4"/>
          <w:lang w:val="en-US" w:eastAsia="zh-CN"/>
        </w:rPr>
      </w:pPr>
    </w:p>
    <w:p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textAlignment w:val="baseline"/>
        <w:rPr>
          <w:rFonts w:hint="default" w:ascii="Times New Roman" w:hAnsi="Times New Roman" w:cs="Times New Roman"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大英县商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eastAsia="zh-CN"/>
        </w:rPr>
        <w:t>务和经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济合作局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 w:firstLine="0"/>
        <w:jc w:val="center"/>
        <w:textAlignment w:val="auto"/>
        <w:rPr>
          <w:rFonts w:hint="eastAsia" w:ascii="Times New Roman" w:hAnsi="Times New Roman" w:eastAsia="方正小标宋简体"/>
          <w:spacing w:val="-4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pacing w:val="-4"/>
          <w:sz w:val="44"/>
          <w:szCs w:val="44"/>
          <w:lang w:val="en-US" w:eastAsia="zh-CN"/>
        </w:rPr>
        <w:t>关于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2021年文明城市创建工作经费</w:t>
      </w:r>
      <w:r>
        <w:rPr>
          <w:rFonts w:hint="eastAsia" w:ascii="Times New Roman" w:hAnsi="Times New Roman" w:eastAsia="方正小标宋简体"/>
          <w:spacing w:val="-4"/>
          <w:sz w:val="44"/>
          <w:szCs w:val="44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 w:firstLine="0"/>
        <w:jc w:val="center"/>
        <w:textAlignment w:val="auto"/>
        <w:rPr>
          <w:rFonts w:hint="default" w:ascii="Times New Roman" w:hAnsi="Times New Roman" w:eastAsia="方正小标宋简体" w:cs="Times New Roman"/>
          <w:spacing w:val="-4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spacing w:val="-4"/>
          <w:sz w:val="44"/>
          <w:szCs w:val="44"/>
          <w:lang w:val="en-US" w:eastAsia="zh-CN"/>
        </w:rPr>
        <w:t>支出绩效自评</w:t>
      </w:r>
      <w:r>
        <w:rPr>
          <w:rFonts w:hint="eastAsia" w:ascii="Times New Roman" w:hAnsi="Times New Roman" w:eastAsia="方正小标宋简体" w:cs="方正小标宋简体"/>
          <w:spacing w:val="-4"/>
          <w:sz w:val="44"/>
          <w:szCs w:val="44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spacing w:val="-4"/>
          <w:sz w:val="44"/>
          <w:szCs w:val="44"/>
          <w:lang w:val="en-US" w:eastAsia="zh-CN"/>
        </w:rPr>
        <w:t>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-4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9" w:lineRule="exact"/>
        <w:ind w:left="0" w:leftChars="0" w:right="0" w:rightChars="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pacing w:val="-4"/>
          <w:sz w:val="32"/>
          <w:lang w:val="en-US" w:eastAsia="zh-CN"/>
        </w:rPr>
        <w:t>县</w:t>
      </w:r>
      <w:r>
        <w:rPr>
          <w:rFonts w:hint="eastAsia" w:ascii="仿宋_GB2312" w:hAnsi="仿宋_GB2312" w:eastAsia="仿宋_GB2312"/>
          <w:color w:val="auto"/>
          <w:spacing w:val="-4"/>
          <w:sz w:val="32"/>
        </w:rPr>
        <w:t>财政局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lang w:val="en-US" w:eastAsia="zh-CN"/>
        </w:rPr>
        <w:t>：</w:t>
      </w:r>
    </w:p>
    <w:p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pacing w:val="-4"/>
          <w:sz w:val="32"/>
        </w:rPr>
        <w:t>根据《大英县财政局关于开展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2024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年部门、项目、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政策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支出绩效自评工作的通知》（大财发〔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2024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〕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87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号）文件要求，我局高度重视，立即落实专人组织开展此项工作。现将我局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2021年文明城市创建工作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经费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项目支出绩效情况报告如下。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黑体" w:cs="黑体"/>
          <w:color w:val="auto"/>
          <w:spacing w:val="-4"/>
          <w:sz w:val="32"/>
        </w:rPr>
      </w:pPr>
      <w:r>
        <w:rPr>
          <w:rFonts w:hint="eastAsia" w:ascii="Times New Roman" w:hAnsi="Times New Roman" w:eastAsia="黑体" w:cs="黑体"/>
          <w:color w:val="auto"/>
          <w:spacing w:val="-4"/>
          <w:sz w:val="32"/>
        </w:rPr>
        <w:t>一、项目概况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楷体_GB2312" w:cs="楷体_GB2312"/>
          <w:b/>
          <w:bCs w:val="0"/>
          <w:color w:val="auto"/>
          <w:spacing w:val="-4"/>
          <w:sz w:val="32"/>
        </w:rPr>
      </w:pPr>
      <w:r>
        <w:rPr>
          <w:rFonts w:hint="eastAsia" w:ascii="Times New Roman" w:hAnsi="Times New Roman" w:eastAsia="楷体_GB2312" w:cs="楷体_GB2312"/>
          <w:b/>
          <w:bCs w:val="0"/>
          <w:color w:val="auto"/>
          <w:spacing w:val="-4"/>
          <w:sz w:val="32"/>
        </w:rPr>
        <w:t>（一）项目基本情况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firstLine="627" w:firstLineChars="200"/>
        <w:jc w:val="both"/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/>
          <w:b/>
          <w:color w:val="auto"/>
          <w:spacing w:val="-4"/>
          <w:sz w:val="32"/>
          <w:lang w:val="en-US" w:eastAsia="zh-CN"/>
        </w:rPr>
        <w:t>1.基本概况。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按照县委、县政府工作安排，2021年以来，县商务经合局在文明城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市创建过程中开展了以下工作:1.《味美大英》节目制作;2.0TA服务平台质量提升;3.酒店服务质量提升;4.邀请明星康年提供辅助服务;5.盐厂小道及花草种植;6.久大盐化旅游，产品示范基地建设;7.“味美四川.大英人最爱家乡菜”评选;8.特色产品展示;9.广告制作及其他相关工作。拨付经费共计</w:t>
      </w:r>
      <w:r>
        <w:rPr>
          <w:rFonts w:hint="default" w:ascii="Times New Roman" w:hAnsi="Times New Roman" w:eastAsia="仿宋_GB2312"/>
          <w:color w:val="auto"/>
          <w:spacing w:val="-4"/>
          <w:sz w:val="32"/>
          <w:lang w:val="en-US" w:eastAsia="zh-CN"/>
        </w:rPr>
        <w:t>32.78375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万元,其中2022年拨付10.58215万元、2023年拨付22.2016万元。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left"/>
        <w:textAlignment w:val="baseline"/>
        <w:rPr>
          <w:rFonts w:hint="eastAsia" w:ascii="Times New Roman" w:hAnsi="Times New Roman" w:eastAsia="仿宋_GB2312"/>
          <w:b/>
          <w:color w:val="auto"/>
          <w:spacing w:val="-4"/>
          <w:sz w:val="32"/>
          <w:lang w:val="en-US" w:eastAsia="zh-CN"/>
        </w:rPr>
        <w:sectPr>
          <w:pgSz w:w="11906" w:h="16838"/>
          <w:pgMar w:top="1928" w:right="1474" w:bottom="1928" w:left="1587" w:header="851" w:footer="992" w:gutter="0"/>
          <w:pgNumType w:fmt="decimal" w:start="2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/>
          <w:b/>
          <w:color w:val="auto"/>
          <w:spacing w:val="-4"/>
          <w:sz w:val="32"/>
          <w:lang w:val="en-US" w:eastAsia="zh-CN"/>
        </w:rPr>
        <w:t>2</w:t>
      </w:r>
      <w:r>
        <w:rPr>
          <w:rFonts w:hint="eastAsia" w:ascii="Times New Roman" w:hAnsi="Times New Roman" w:eastAsia="仿宋_GB2312"/>
          <w:b/>
          <w:color w:val="auto"/>
          <w:spacing w:val="-4"/>
          <w:sz w:val="32"/>
        </w:rPr>
        <w:t>.项目立项、资金申报的依据。</w:t>
      </w:r>
      <w:r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大商务经合〔202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30</w:t>
      </w:r>
      <w:r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号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left"/>
        <w:textAlignment w:val="baseline"/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/>
          <w:b/>
          <w:bCs/>
          <w:color w:val="auto"/>
          <w:spacing w:val="-4"/>
          <w:sz w:val="32"/>
          <w:lang w:val="en-US" w:eastAsia="zh-CN"/>
        </w:rPr>
        <w:t>3</w:t>
      </w:r>
      <w:r>
        <w:rPr>
          <w:rFonts w:hint="eastAsia" w:ascii="Times New Roman" w:hAnsi="Times New Roman" w:eastAsia="仿宋_GB2312"/>
          <w:b/>
          <w:color w:val="auto"/>
          <w:spacing w:val="-4"/>
          <w:sz w:val="32"/>
        </w:rPr>
        <w:t>.资金管理办法制定情况，资金支持具体项目的条件、范围与支持方式概况。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为切实推进我县全国文明城市创建工作,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2021年以来，根据县委、县政府工作安排，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  <w:t>我局开展了一系列文明创建活动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,确保了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文明城市创建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  <w:t>工作在我局有序推进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.经请示,县人民政府核算我局创建经费</w:t>
      </w:r>
      <w:r>
        <w:rPr>
          <w:rFonts w:hint="default" w:ascii="Times New Roman" w:hAnsi="Times New Roman" w:eastAsia="仿宋_GB2312"/>
          <w:color w:val="auto"/>
          <w:spacing w:val="-4"/>
          <w:sz w:val="32"/>
          <w:lang w:val="en-US" w:eastAsia="zh-CN"/>
        </w:rPr>
        <w:t>32.78375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，主要用于1.《味美大英》节目制作;2.0TA服务平台质量提升;3.酒店服务质量提升;4.邀请明星康年提供辅助服务;5.盐厂小道及花草种植;6.久大盐化旅游，产品示范基地建设;7.“味美四川.大英人最爱家乡菜”评选;8.特色产品展示;9.广告制作及其他相关工作使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仿宋_GB2312"/>
          <w:color w:val="auto"/>
          <w:spacing w:val="-4"/>
          <w:sz w:val="32"/>
        </w:rPr>
      </w:pPr>
      <w:r>
        <w:rPr>
          <w:rFonts w:hint="eastAsia" w:ascii="Times New Roman" w:hAnsi="Times New Roman" w:eastAsia="仿宋_GB2312"/>
          <w:b/>
          <w:color w:val="auto"/>
          <w:spacing w:val="-4"/>
          <w:sz w:val="32"/>
          <w:lang w:val="en-US" w:eastAsia="zh-CN"/>
        </w:rPr>
        <w:t>4</w:t>
      </w:r>
      <w:r>
        <w:rPr>
          <w:rFonts w:hint="eastAsia" w:ascii="Times New Roman" w:hAnsi="Times New Roman" w:eastAsia="仿宋_GB2312"/>
          <w:b/>
          <w:color w:val="auto"/>
          <w:spacing w:val="-4"/>
          <w:sz w:val="32"/>
        </w:rPr>
        <w:t>.资金分配的原则及考虑因素。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为深入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推进我县全国文明城市创建工作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根据县委、县政府工作安排，县商务经合局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开展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全国文明城市创建工作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。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2021年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县商务经合局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根据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相关财经管理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制度，制定了《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全国文明城市创建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专项资金管理办法》文件对项目资金进行管理。资金分配按照规范性、合理性、及时性原则使用，主要考虑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既不偏离标准，又有区域特色的原则推进全国文明城市创建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楷体_GB2312" w:cs="楷体_GB2312"/>
          <w:b/>
          <w:bCs w:val="0"/>
          <w:color w:val="auto"/>
          <w:spacing w:val="-4"/>
          <w:sz w:val="32"/>
        </w:rPr>
      </w:pPr>
      <w:r>
        <w:rPr>
          <w:rFonts w:hint="eastAsia" w:ascii="Times New Roman" w:hAnsi="Times New Roman" w:eastAsia="楷体_GB2312" w:cs="楷体_GB2312"/>
          <w:b/>
          <w:bCs w:val="0"/>
          <w:color w:val="auto"/>
          <w:spacing w:val="-4"/>
          <w:sz w:val="32"/>
        </w:rPr>
        <w:t>（二）项目绩效目标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/>
          <w:b/>
          <w:color w:val="auto"/>
          <w:spacing w:val="-4"/>
          <w:sz w:val="32"/>
        </w:rPr>
        <w:t>1.项目主要内容。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1.《味美大英》节目制作;2.0TA服务平台质量提升;3.酒店服务质量提升;4.邀请明星康年提供辅助服务;5.盐厂小道及花草种植;6.久大盐化旅游，产品示范基地建设;7.“味美四川.大英人最爱家乡菜”评选;8.特色产品展示;9.广告制作及其他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90" w:lineRule="exact"/>
        <w:ind w:left="0" w:leftChars="0" w:right="0" w:rightChars="0" w:firstLine="627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spacing w:val="-4"/>
          <w:sz w:val="32"/>
        </w:rPr>
      </w:pPr>
      <w:r>
        <w:rPr>
          <w:rFonts w:hint="eastAsia" w:ascii="Times New Roman" w:hAnsi="Times New Roman" w:eastAsia="仿宋_GB2312"/>
          <w:b/>
          <w:bCs/>
          <w:color w:val="auto"/>
          <w:spacing w:val="-4"/>
          <w:sz w:val="32"/>
        </w:rPr>
        <w:t>2.项目应实现的具体绩效目标，包括目标的量化、细化情况以及项目实施进度计划等。</w:t>
      </w:r>
    </w:p>
    <w:tbl>
      <w:tblPr>
        <w:tblStyle w:val="13"/>
        <w:tblW w:w="88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1155"/>
        <w:gridCol w:w="1701"/>
        <w:gridCol w:w="2788"/>
        <w:gridCol w:w="1217"/>
        <w:gridCol w:w="1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tblHeader/>
        </w:trPr>
        <w:tc>
          <w:tcPr>
            <w:tcW w:w="6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绩效指标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一级指标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二级指标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三级指标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指标值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实施进度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Header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项目完成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数量指标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“味美四川·大英人最爱家乡菜”评选活动,酒店服务质量大提升行动,服务业从业人员培训工作,提升酒店业服务环境,提升久大蓬莱盐化有限公司迎检环境,点位布置及其他杂费等数量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=6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tblHeader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质量指标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“味美四川·大英人最爱家乡菜”评选活动,酒店服务质量大提升行动,服务业从业人员培训工作,提升酒店业服务环境,提升久大蓬莱盐化有限公司迎检环境,点位布置及其他杂费等合格率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=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100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％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时效指标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“味美四川·大英人最爱家乡菜”评选活动,酒店服务质量大提升行动,服务业从业人员培训工作,提升酒店业服务环境,提升久大蓬莱盐化有限公司迎检环境,点位布置及其他杂费等及时率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=100%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成本指标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“味美四川·大英人最爱家乡菜”评选活动,酒店服务质量大提升行动,服务业从业人员培训工作,提升酒店业服务环境,提升久大蓬莱盐化有限公司迎检环境,点位布置及其他杂费等成本预算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32.78375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万元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32.78375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项目效益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可持续影响指标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管理机制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好坏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</w:trPr>
        <w:tc>
          <w:tcPr>
            <w:tcW w:w="6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满意度指标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满意度指标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让消费者满意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≥98%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100%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仿宋_GB2312"/>
          <w:color w:val="000000"/>
          <w:spacing w:val="-4"/>
          <w:sz w:val="32"/>
        </w:rPr>
      </w:pPr>
      <w:r>
        <w:rPr>
          <w:rFonts w:hint="eastAsia" w:ascii="Times New Roman" w:hAnsi="Times New Roman" w:eastAsia="仿宋_GB2312"/>
          <w:b/>
          <w:color w:val="000000"/>
          <w:spacing w:val="-4"/>
          <w:sz w:val="32"/>
        </w:rPr>
        <w:t>3.分析评价申报内容是否与实际相符，申报目标是否合理可行。</w:t>
      </w:r>
      <w:r>
        <w:rPr>
          <w:rFonts w:hint="eastAsia" w:ascii="Times New Roman" w:hAnsi="Times New Roman" w:eastAsia="仿宋_GB2312"/>
          <w:color w:val="000000"/>
          <w:spacing w:val="-4"/>
          <w:sz w:val="32"/>
        </w:rPr>
        <w:t>评价申报内容与实际相符，申报目标合理可行。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 w:eastAsia="楷体_GB2312" w:cs="楷体_GB2312"/>
          <w:b/>
          <w:color w:val="000000"/>
          <w:spacing w:val="-4"/>
          <w:sz w:val="32"/>
        </w:rPr>
      </w:pPr>
      <w:r>
        <w:rPr>
          <w:rFonts w:hint="eastAsia" w:ascii="Times New Roman" w:hAnsi="Times New Roman" w:eastAsia="楷体_GB2312" w:cs="楷体_GB2312"/>
          <w:b/>
          <w:bCs w:val="0"/>
          <w:color w:val="000000"/>
          <w:spacing w:val="-4"/>
          <w:sz w:val="32"/>
        </w:rPr>
        <w:t>（三）项目自评步骤及方法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/>
          <w:spacing w:val="-4"/>
        </w:rPr>
      </w:pPr>
      <w:r>
        <w:rPr>
          <w:rFonts w:hint="eastAsia" w:ascii="Times New Roman" w:hAnsi="Times New Roman" w:eastAsia="仿宋_GB2312"/>
          <w:b/>
          <w:bCs/>
          <w:spacing w:val="-4"/>
          <w:sz w:val="32"/>
          <w:lang w:val="en-US" w:eastAsia="zh-CN"/>
        </w:rPr>
        <w:t>一是</w:t>
      </w: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前期准备；</w:t>
      </w:r>
      <w:r>
        <w:rPr>
          <w:rFonts w:hint="eastAsia" w:ascii="Times New Roman" w:hAnsi="Times New Roman" w:eastAsia="仿宋_GB2312"/>
          <w:b/>
          <w:bCs/>
          <w:spacing w:val="-4"/>
          <w:sz w:val="32"/>
          <w:lang w:val="en-US" w:eastAsia="zh-CN"/>
        </w:rPr>
        <w:t>二是</w:t>
      </w: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组织实施；</w:t>
      </w:r>
      <w:r>
        <w:rPr>
          <w:rFonts w:hint="eastAsia" w:ascii="Times New Roman" w:hAnsi="Times New Roman" w:eastAsia="仿宋_GB2312"/>
          <w:b/>
          <w:bCs/>
          <w:spacing w:val="-4"/>
          <w:sz w:val="32"/>
          <w:lang w:val="en-US" w:eastAsia="zh-CN"/>
        </w:rPr>
        <w:t>三是</w:t>
      </w: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分析评价。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rPr>
          <w:rFonts w:hint="eastAsia" w:ascii="Times New Roman" w:hAnsi="Times New Roman" w:eastAsia="黑体"/>
          <w:spacing w:val="-4"/>
          <w:sz w:val="32"/>
        </w:rPr>
      </w:pPr>
      <w:r>
        <w:rPr>
          <w:rFonts w:hint="eastAsia" w:ascii="Times New Roman" w:hAnsi="Times New Roman" w:eastAsia="黑体"/>
          <w:spacing w:val="-4"/>
          <w:sz w:val="32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 w:eastAsia="楷体_GB2312"/>
          <w:b/>
          <w:color w:val="auto"/>
          <w:spacing w:val="-4"/>
          <w:sz w:val="32"/>
        </w:rPr>
      </w:pPr>
      <w:r>
        <w:rPr>
          <w:rFonts w:hint="eastAsia" w:ascii="Times New Roman" w:hAnsi="Times New Roman" w:eastAsia="楷体_GB2312"/>
          <w:b/>
          <w:color w:val="auto"/>
          <w:spacing w:val="-4"/>
          <w:sz w:val="32"/>
        </w:rPr>
        <w:t>（一）项目资金申报及批复情况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rPr>
          <w:rFonts w:hint="eastAsia" w:ascii="Times New Roman" w:hAnsi="Times New Roman" w:eastAsia="仿宋_GB2312"/>
          <w:color w:val="auto"/>
          <w:spacing w:val="-4"/>
          <w:sz w:val="32"/>
        </w:rPr>
      </w:pP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2021年文明城市创建工作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经费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项目于20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22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年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5月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向财政局进行资金申报工作，根据</w:t>
      </w:r>
      <w:r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大商务经合〔202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30</w:t>
      </w:r>
      <w:r>
        <w:rPr>
          <w:rFonts w:hint="default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号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等申报资料进行审议，批复下达预算资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</w:rPr>
        <w:t>金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lang w:val="en-US" w:eastAsia="zh-CN"/>
        </w:rPr>
        <w:t>327837.5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 w:eastAsia="楷体_GB2312"/>
          <w:b/>
          <w:color w:val="auto"/>
          <w:spacing w:val="-4"/>
          <w:sz w:val="32"/>
        </w:rPr>
      </w:pPr>
      <w:r>
        <w:rPr>
          <w:rFonts w:hint="eastAsia" w:ascii="Times New Roman" w:hAnsi="Times New Roman" w:eastAsia="楷体_GB2312"/>
          <w:b/>
          <w:color w:val="auto"/>
          <w:spacing w:val="-4"/>
          <w:sz w:val="32"/>
        </w:rPr>
        <w:t>资金计划、到位及使用情况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 w:eastAsia="楷体_GB2312"/>
          <w:b/>
          <w:color w:val="auto"/>
          <w:spacing w:val="-4"/>
          <w:sz w:val="32"/>
        </w:rPr>
      </w:pPr>
      <w:r>
        <w:rPr>
          <w:rFonts w:hint="eastAsia" w:ascii="Times New Roman" w:hAnsi="Times New Roman" w:eastAsia="仿宋_GB2312"/>
          <w:b/>
          <w:color w:val="auto"/>
          <w:spacing w:val="-4"/>
          <w:sz w:val="32"/>
        </w:rPr>
        <w:t>1</w:t>
      </w:r>
      <w:r>
        <w:rPr>
          <w:rFonts w:hint="eastAsia" w:ascii="Times New Roman" w:hAnsi="Times New Roman" w:eastAsia="仿宋_GB2312"/>
          <w:b/>
          <w:color w:val="auto"/>
          <w:spacing w:val="-4"/>
          <w:sz w:val="32"/>
          <w:lang w:val="en-US" w:eastAsia="zh-CN"/>
        </w:rPr>
        <w:t>.</w:t>
      </w:r>
      <w:r>
        <w:rPr>
          <w:rFonts w:hint="eastAsia" w:ascii="Times New Roman" w:hAnsi="Times New Roman" w:eastAsia="仿宋_GB2312"/>
          <w:b/>
          <w:color w:val="auto"/>
          <w:spacing w:val="-4"/>
          <w:sz w:val="32"/>
        </w:rPr>
        <w:t>资金计划</w:t>
      </w:r>
    </w:p>
    <w:tbl>
      <w:tblPr>
        <w:tblStyle w:val="13"/>
        <w:tblpPr w:leftFromText="180" w:rightFromText="180" w:vertAnchor="text" w:horzAnchor="page" w:tblpXSpec="center" w:tblpY="176"/>
        <w:tblOverlap w:val="never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2287"/>
        <w:gridCol w:w="1762"/>
        <w:gridCol w:w="1587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中央、省、市（州）、县（市、区）财政资金（万元）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项目单位自筹（万元）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其他渠道资金（万元）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2021年文明城市创建工作经费</w:t>
            </w: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78375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left="0" w:leftChars="0" w:right="0" w:firstLine="544" w:firstLineChars="200"/>
              <w:jc w:val="both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90" w:lineRule="exact"/>
        <w:ind w:left="0" w:leftChars="0" w:right="0" w:rightChars="0" w:firstLine="627" w:firstLineChars="200"/>
        <w:jc w:val="both"/>
        <w:textAlignment w:val="auto"/>
        <w:outlineLvl w:val="9"/>
        <w:rPr>
          <w:rFonts w:hint="eastAsia" w:ascii="Times New Roman" w:hAnsi="Times New Roman" w:eastAsia="仿宋_GB2312"/>
          <w:spacing w:val="-4"/>
          <w:sz w:val="32"/>
          <w:highlight w:val="yellow"/>
        </w:rPr>
      </w:pPr>
      <w:r>
        <w:rPr>
          <w:rFonts w:hint="eastAsia" w:ascii="Times New Roman" w:hAnsi="Times New Roman" w:eastAsia="仿宋_GB2312"/>
          <w:b/>
          <w:spacing w:val="-4"/>
          <w:sz w:val="32"/>
        </w:rPr>
        <w:t>2.资金到位</w:t>
      </w:r>
    </w:p>
    <w:tbl>
      <w:tblPr>
        <w:tblStyle w:val="13"/>
        <w:tblW w:w="8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2325"/>
        <w:gridCol w:w="1707"/>
        <w:gridCol w:w="1575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中央、省、市（州）、县级财政资金（万元）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资金计划（万元）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资金到位情况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2021年文明城市创建工作经费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78375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78375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left="0" w:leftChars="0" w:right="0" w:firstLine="544" w:firstLineChars="20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90" w:lineRule="exact"/>
        <w:ind w:left="0" w:leftChars="0" w:right="0" w:rightChars="0" w:firstLine="627" w:firstLineChars="200"/>
        <w:jc w:val="both"/>
        <w:textAlignment w:val="baseline"/>
        <w:rPr>
          <w:rFonts w:hint="eastAsia" w:ascii="Times New Roman" w:hAnsi="Times New Roman" w:eastAsia="仿宋_GB2312"/>
          <w:b/>
          <w:color w:val="000000"/>
          <w:spacing w:val="-4"/>
          <w:sz w:val="32"/>
        </w:rPr>
      </w:pPr>
      <w:r>
        <w:rPr>
          <w:rFonts w:hint="eastAsia" w:ascii="Times New Roman" w:hAnsi="Times New Roman" w:eastAsia="仿宋_GB2312"/>
          <w:b/>
          <w:color w:val="000000"/>
          <w:spacing w:val="-4"/>
          <w:sz w:val="32"/>
          <w:lang w:val="en-US" w:eastAsia="zh-CN"/>
        </w:rPr>
        <w:t>3.</w:t>
      </w:r>
      <w:r>
        <w:rPr>
          <w:rFonts w:hint="eastAsia" w:ascii="Times New Roman" w:hAnsi="Times New Roman" w:eastAsia="仿宋_GB2312"/>
          <w:b/>
          <w:color w:val="000000"/>
          <w:spacing w:val="-4"/>
          <w:sz w:val="32"/>
        </w:rPr>
        <w:t>资金使用</w:t>
      </w:r>
    </w:p>
    <w:tbl>
      <w:tblPr>
        <w:tblStyle w:val="13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644"/>
        <w:gridCol w:w="1036"/>
        <w:gridCol w:w="996"/>
        <w:gridCol w:w="954"/>
        <w:gridCol w:w="846"/>
        <w:gridCol w:w="804"/>
        <w:gridCol w:w="1361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项目名称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县统计资金支出情况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支付安全性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支付规范性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支付有效性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支付标准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支付进度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支付依据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是否与预算相符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2021年文明城市创建工作经费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已于2023年12月31日以前完成支付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安全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规范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有效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符合标准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default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100%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票据齐全2023年1-12月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both"/>
              <w:textAlignment w:val="center"/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-4"/>
                <w:sz w:val="28"/>
                <w:szCs w:val="28"/>
                <w:lang w:val="en-US" w:eastAsia="zh-CN"/>
              </w:rPr>
              <w:t>符合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楷体_GB2312"/>
          <w:b/>
          <w:spacing w:val="-4"/>
          <w:sz w:val="32"/>
        </w:rPr>
      </w:pPr>
      <w:r>
        <w:rPr>
          <w:rFonts w:hint="eastAsia" w:ascii="Times New Roman" w:hAnsi="Times New Roman" w:eastAsia="楷体_GB2312"/>
          <w:b/>
          <w:spacing w:val="-4"/>
          <w:sz w:val="32"/>
        </w:rPr>
        <w:t>（三）项目财务管理情况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仿宋_GB2312" w:cs="Times New Roman"/>
          <w:color w:val="000000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spacing w:val="-4"/>
          <w:kern w:val="2"/>
          <w:sz w:val="32"/>
          <w:szCs w:val="24"/>
          <w:lang w:val="en-US" w:eastAsia="zh-CN" w:bidi="ar-SA"/>
        </w:rPr>
        <w:t>大英县商务和经济合作局财务管理制度健全，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2021年文明城市创建工作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经费</w:t>
      </w:r>
      <w:r>
        <w:rPr>
          <w:rFonts w:hint="eastAsia" w:ascii="Times New Roman" w:hAnsi="Times New Roman" w:eastAsia="仿宋_GB2312" w:cs="Times New Roman"/>
          <w:color w:val="auto"/>
          <w:spacing w:val="-4"/>
          <w:kern w:val="2"/>
          <w:sz w:val="32"/>
          <w:szCs w:val="24"/>
          <w:lang w:val="en-US" w:eastAsia="zh-CN" w:bidi="ar-SA"/>
        </w:rPr>
        <w:t>按照我县文明城市创建工作要求使用，严格执行财务管理制度，且账务处理及时，会计核算符合规范。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仿宋_GB2312" w:cs="Times New Roman"/>
          <w:color w:val="000000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spacing w:val="-4"/>
          <w:kern w:val="2"/>
          <w:sz w:val="32"/>
          <w:szCs w:val="24"/>
          <w:lang w:val="en-US" w:eastAsia="zh-CN" w:bidi="ar-SA"/>
        </w:rPr>
        <w:t>为更好地推进我县全国文明城市创建工作有效开展，针对项目资金的使用和管理项目单位建立了专项资金管理责任制，财务室负责专项资金到账、审核、支付、资金预算及决算的编制和专用资金各项费用的汇总和分析；县商务经合局负责专项资金对应项目评价、验收及对相关部门的汇报、联络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黑体"/>
          <w:spacing w:val="-4"/>
          <w:sz w:val="32"/>
        </w:rPr>
      </w:pPr>
      <w:r>
        <w:rPr>
          <w:rFonts w:hint="eastAsia" w:ascii="Times New Roman" w:hAnsi="Times New Roman" w:eastAsia="黑体"/>
          <w:spacing w:val="-4"/>
          <w:sz w:val="32"/>
        </w:rPr>
        <w:t>三、项目实施及管理情况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仿宋_GB2312"/>
          <w:b/>
          <w:spacing w:val="-4"/>
          <w:sz w:val="32"/>
        </w:rPr>
      </w:pPr>
      <w:r>
        <w:rPr>
          <w:rFonts w:hint="eastAsia" w:ascii="Times New Roman" w:hAnsi="Times New Roman" w:eastAsia="楷体_GB2312"/>
          <w:b/>
          <w:spacing w:val="-4"/>
          <w:sz w:val="32"/>
        </w:rPr>
        <w:t>（一）项目组织架构及实施流程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default" w:ascii="Times New Roman" w:hAnsi="Times New Roman" w:eastAsia="仿宋_GB2312"/>
          <w:spacing w:val="-4"/>
          <w:sz w:val="32"/>
          <w:lang w:val="en-US"/>
        </w:rPr>
      </w:pPr>
      <w:r>
        <w:rPr>
          <w:rFonts w:hint="eastAsia" w:ascii="Times New Roman" w:hAnsi="Times New Roman" w:eastAsia="仿宋_GB2312"/>
          <w:b/>
          <w:bCs/>
          <w:spacing w:val="-4"/>
          <w:sz w:val="32"/>
          <w:lang w:val="en-US" w:eastAsia="zh-CN"/>
        </w:rPr>
        <w:t>一是</w:t>
      </w: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前期准备；</w:t>
      </w:r>
      <w:r>
        <w:rPr>
          <w:rFonts w:hint="eastAsia" w:ascii="Times New Roman" w:hAnsi="Times New Roman" w:eastAsia="仿宋_GB2312"/>
          <w:b/>
          <w:bCs/>
          <w:spacing w:val="-4"/>
          <w:sz w:val="32"/>
          <w:lang w:val="en-US" w:eastAsia="zh-CN"/>
        </w:rPr>
        <w:t>二是</w:t>
      </w: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组织实施；</w:t>
      </w:r>
      <w:r>
        <w:rPr>
          <w:rFonts w:hint="eastAsia" w:ascii="Times New Roman" w:hAnsi="Times New Roman" w:eastAsia="仿宋_GB2312"/>
          <w:b/>
          <w:bCs/>
          <w:spacing w:val="-4"/>
          <w:sz w:val="32"/>
          <w:lang w:val="en-US" w:eastAsia="zh-CN"/>
        </w:rPr>
        <w:t>三是</w:t>
      </w: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分析评价。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 w:firstLine="627" w:firstLineChars="200"/>
        <w:jc w:val="both"/>
        <w:textAlignment w:val="baseline"/>
        <w:rPr>
          <w:rFonts w:hint="eastAsia" w:ascii="Times New Roman" w:hAnsi="Times New Roman" w:eastAsia="楷体_GB2312"/>
          <w:b/>
          <w:spacing w:val="-4"/>
          <w:sz w:val="32"/>
        </w:rPr>
      </w:pPr>
      <w:r>
        <w:rPr>
          <w:rFonts w:hint="eastAsia" w:ascii="Times New Roman" w:hAnsi="Times New Roman" w:eastAsia="楷体_GB2312"/>
          <w:b/>
          <w:spacing w:val="-4"/>
          <w:sz w:val="32"/>
          <w:lang w:eastAsia="zh-CN"/>
        </w:rPr>
        <w:t>（</w:t>
      </w:r>
      <w:r>
        <w:rPr>
          <w:rFonts w:hint="eastAsia" w:ascii="Times New Roman" w:hAnsi="Times New Roman" w:eastAsia="楷体_GB2312"/>
          <w:b/>
          <w:spacing w:val="-4"/>
          <w:sz w:val="32"/>
          <w:lang w:val="en-US" w:eastAsia="zh-CN"/>
        </w:rPr>
        <w:t>二</w:t>
      </w:r>
      <w:r>
        <w:rPr>
          <w:rFonts w:hint="eastAsia" w:ascii="Times New Roman" w:hAnsi="Times New Roman" w:eastAsia="楷体_GB2312"/>
          <w:b/>
          <w:spacing w:val="-4"/>
          <w:sz w:val="32"/>
          <w:lang w:eastAsia="zh-CN"/>
        </w:rPr>
        <w:t>）</w:t>
      </w:r>
      <w:r>
        <w:rPr>
          <w:rFonts w:hint="eastAsia" w:ascii="Times New Roman" w:hAnsi="Times New Roman" w:eastAsia="楷体_GB2312"/>
          <w:b/>
          <w:spacing w:val="-4"/>
          <w:sz w:val="32"/>
        </w:rPr>
        <w:t>项目管理情况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624" w:firstLineChars="200"/>
        <w:jc w:val="both"/>
        <w:textAlignment w:val="baseline"/>
        <w:rPr>
          <w:rFonts w:hint="eastAsia" w:ascii="Times New Roman" w:hAnsi="Times New Roman" w:eastAsia="仿宋_GB2312"/>
          <w:color w:val="auto"/>
          <w:spacing w:val="-4"/>
          <w:sz w:val="32"/>
        </w:rPr>
      </w:pP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为规范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大英县商务和经济合作局的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文明城市创建工作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经费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项目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管理，提高专项资金使用效益，根据有关文件要求，推动我局文明创建工作。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 w:eastAsia="楷体_GB2312"/>
          <w:b/>
          <w:spacing w:val="-4"/>
          <w:sz w:val="32"/>
        </w:rPr>
      </w:pPr>
      <w:r>
        <w:rPr>
          <w:rFonts w:hint="eastAsia" w:ascii="Times New Roman" w:hAnsi="Times New Roman" w:eastAsia="楷体_GB2312"/>
          <w:b/>
          <w:spacing w:val="-4"/>
          <w:sz w:val="32"/>
        </w:rPr>
        <w:t>（三）项目监管情况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仿宋_GB2312"/>
          <w:color w:val="000000"/>
          <w:spacing w:val="-4"/>
          <w:sz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-4"/>
          <w:sz w:val="32"/>
          <w:lang w:val="en-US" w:eastAsia="zh-CN"/>
        </w:rPr>
        <w:t>根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val="en-US" w:eastAsia="zh-CN"/>
        </w:rPr>
        <w:t>据2021年文明城市创建工作</w:t>
      </w:r>
      <w:r>
        <w:rPr>
          <w:rFonts w:hint="eastAsia" w:ascii="Times New Roman" w:hAnsi="Times New Roman" w:eastAsia="仿宋_GB2312"/>
          <w:color w:val="auto"/>
          <w:spacing w:val="-4"/>
          <w:sz w:val="32"/>
          <w:lang w:eastAsia="zh-CN"/>
        </w:rPr>
        <w:t>经费</w:t>
      </w:r>
      <w:r>
        <w:rPr>
          <w:rFonts w:hint="eastAsia" w:ascii="Times New Roman" w:hAnsi="Times New Roman" w:eastAsia="仿宋_GB2312"/>
          <w:color w:val="auto"/>
          <w:spacing w:val="-4"/>
          <w:sz w:val="32"/>
        </w:rPr>
        <w:t>项目</w:t>
      </w:r>
      <w:r>
        <w:rPr>
          <w:rFonts w:hint="eastAsia" w:ascii="Times New Roman" w:hAnsi="Times New Roman" w:eastAsia="仿宋_GB2312"/>
          <w:color w:val="000000"/>
          <w:spacing w:val="-4"/>
          <w:sz w:val="32"/>
          <w:lang w:val="en-US" w:eastAsia="zh-CN"/>
        </w:rPr>
        <w:t>推进情况拨付资金，县财政局对专项资金使用方向进行监督，并对项目资金开展绩效评价。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仿宋_GB2312"/>
          <w:color w:val="000000"/>
          <w:spacing w:val="-4"/>
          <w:sz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pacing w:val="-4"/>
          <w:sz w:val="32"/>
          <w:lang w:val="en-US" w:eastAsia="zh-CN"/>
        </w:rPr>
        <w:t>县商务经合局财务管理制度健全，为保障项目资金安全，确保资金专款专用，我局从资金申请、资金使用、会计核算三个环节加强资金管理。在项目资金申请环节，严格按照国库集中支付流程向县财政局申请财政资金；在资金使用环节，严格遵守县本级财政资金支持审批管理办法规定，严格按照我局资金财务审批流程办理款项支付。在会计核算环节，对本项目资金实际单独核算，确保专款专用。通过上述三个环节的管理，极力避免挪用、挤占、截留项目资金的现象，保证财政资金安全有效使用。</w:t>
      </w:r>
    </w:p>
    <w:p>
      <w:pPr>
        <w:keepNext w:val="0"/>
        <w:keepLines w:val="0"/>
        <w:pageBreakBefore w:val="0"/>
        <w:widowControl/>
        <w:tabs>
          <w:tab w:val="left" w:pos="22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textAlignment w:val="baseline"/>
        <w:rPr>
          <w:rFonts w:hint="eastAsia" w:ascii="Times New Roman" w:hAnsi="Times New Roman" w:eastAsia="黑体"/>
          <w:spacing w:val="-4"/>
          <w:sz w:val="32"/>
        </w:rPr>
      </w:pPr>
      <w:r>
        <w:rPr>
          <w:rFonts w:hint="eastAsia" w:ascii="Times New Roman" w:hAnsi="Times New Roman" w:eastAsia="黑体"/>
          <w:spacing w:val="-4"/>
          <w:sz w:val="32"/>
        </w:rPr>
        <w:t>四、项目绩效情况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90" w:lineRule="exact"/>
        <w:ind w:left="0" w:leftChars="0" w:right="0" w:firstLine="627" w:firstLineChars="200"/>
        <w:jc w:val="both"/>
        <w:textAlignment w:val="baseline"/>
        <w:rPr>
          <w:rFonts w:hint="eastAsia" w:ascii="Times New Roman" w:hAnsi="Times New Roman"/>
          <w:color w:val="auto"/>
          <w:spacing w:val="-4"/>
          <w:sz w:val="32"/>
          <w:szCs w:val="32"/>
        </w:rPr>
      </w:pPr>
      <w:r>
        <w:rPr>
          <w:rFonts w:hint="eastAsia" w:ascii="Times New Roman" w:hAnsi="Times New Roman" w:eastAsia="楷体_GB2312"/>
          <w:b/>
          <w:color w:val="auto"/>
          <w:spacing w:val="-4"/>
          <w:sz w:val="32"/>
          <w:szCs w:val="32"/>
        </w:rPr>
        <w:t>（一）项目完成情况</w:t>
      </w:r>
    </w:p>
    <w:tbl>
      <w:tblPr>
        <w:tblStyle w:val="13"/>
        <w:tblW w:w="88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1200"/>
        <w:gridCol w:w="1241"/>
        <w:gridCol w:w="3004"/>
        <w:gridCol w:w="945"/>
        <w:gridCol w:w="12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绩效指标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一级指标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二级指标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三级指标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指标值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进度计划完成率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right="0"/>
              <w:jc w:val="center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项目完成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数量指标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“味美四川·大英人最爱家乡菜”评选活动,酒店服务质量大提升行动,服务业从业人员培训工作,提升酒店业服务环境,提升久大蓬莱盐化有限公司迎检环境,点位布置及其他杂费等数量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=6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firstLine="544" w:firstLineChars="200"/>
              <w:jc w:val="center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质量指标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“味美四川·大英人最爱家乡菜”评选活动,酒店服务质量大提升行动,服务业从业人员培训工作,提升酒店业服务环境,提升久大蓬莱盐化有限公司迎检环境,点位布置及其他杂费等合格率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=</w:t>
            </w: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100</w:t>
            </w: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％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firstLine="544" w:firstLineChars="200"/>
              <w:jc w:val="center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时效指标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“味美四川·大英人最爱家乡菜”评选活动,酒店服务质量大提升行动,服务业从业人员培训工作,提升酒店业服务环境,提升久大蓬莱盐化有限公司迎检环境,点位布置及其他杂费等及时率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=100%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7" w:hRule="atLeast"/>
        </w:trPr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firstLine="544" w:firstLineChars="200"/>
              <w:jc w:val="center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成本指标</w:t>
            </w:r>
          </w:p>
        </w:tc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“味美四川·大英人最爱家乡菜”评选活动,酒店服务质量大提升行动,服务业从业人员培训工作,提升酒店业服务环境,提升久大蓬莱盐化有限公司迎检环境,点位布置及其他杂费等成本预算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≤</w:t>
            </w: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32.78375</w:t>
            </w: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万元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32.78375</w:t>
            </w:r>
            <w:r>
              <w:rPr>
                <w:rFonts w:hint="eastAsia" w:ascii="Times New Roman" w:hAnsi="Times New Roman" w:eastAsia="仿宋_GB2312" w:cstheme="minorBidi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万元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90" w:lineRule="exact"/>
        <w:ind w:left="0" w:leftChars="0" w:right="0" w:rightChars="0" w:firstLine="627" w:firstLineChars="200"/>
        <w:jc w:val="both"/>
        <w:textAlignment w:val="auto"/>
        <w:outlineLvl w:val="9"/>
        <w:rPr>
          <w:rFonts w:hint="eastAsia" w:ascii="Times New Roman" w:hAnsi="Times New Roman"/>
          <w:color w:val="auto"/>
          <w:spacing w:val="-4"/>
          <w:sz w:val="32"/>
          <w:szCs w:val="32"/>
        </w:rPr>
      </w:pPr>
      <w:r>
        <w:rPr>
          <w:rFonts w:hint="eastAsia" w:ascii="Times New Roman" w:hAnsi="Times New Roman" w:eastAsia="楷体_GB2312"/>
          <w:b/>
          <w:color w:val="auto"/>
          <w:spacing w:val="-4"/>
          <w:sz w:val="32"/>
          <w:szCs w:val="32"/>
        </w:rPr>
        <w:t>（二）项目效益情况</w:t>
      </w:r>
    </w:p>
    <w:tbl>
      <w:tblPr>
        <w:tblStyle w:val="13"/>
        <w:tblW w:w="91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350"/>
        <w:gridCol w:w="2154"/>
        <w:gridCol w:w="1971"/>
        <w:gridCol w:w="1191"/>
        <w:gridCol w:w="18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绩效指标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一级指标</w:t>
            </w:r>
          </w:p>
        </w:tc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二级指标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三级指标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指标值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实施进度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项目效益</w:t>
            </w:r>
          </w:p>
        </w:tc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经济效益指标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社会效益指标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生态效益指标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可持续效益指标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管理机制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好/坏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N/>
              <w:bidi w:val="0"/>
              <w:spacing w:line="590" w:lineRule="exac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64" w:firstLineChars="20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服务对象满意度指标</w:t>
            </w:r>
          </w:p>
        </w:tc>
        <w:tc>
          <w:tcPr>
            <w:tcW w:w="1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让消费者满意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≥98%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4"/>
                <w:kern w:val="2"/>
                <w:sz w:val="24"/>
                <w:szCs w:val="24"/>
                <w:lang w:val="en-US" w:eastAsia="zh-CN" w:bidi="ar-SA"/>
              </w:rPr>
              <w:t>100%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rPr>
          <w:rFonts w:hint="eastAsia" w:ascii="Times New Roman" w:hAnsi="Times New Roman" w:eastAsia="黑体"/>
          <w:color w:val="auto"/>
          <w:spacing w:val="-4"/>
          <w:sz w:val="32"/>
        </w:rPr>
      </w:pPr>
      <w:r>
        <w:rPr>
          <w:rFonts w:hint="eastAsia" w:ascii="Times New Roman" w:hAnsi="Times New Roman" w:eastAsia="黑体"/>
          <w:color w:val="auto"/>
          <w:spacing w:val="-4"/>
          <w:sz w:val="32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 w:eastAsia="仿宋_GB2312"/>
          <w:b/>
          <w:color w:val="auto"/>
          <w:spacing w:val="-4"/>
          <w:sz w:val="32"/>
        </w:rPr>
      </w:pPr>
      <w:r>
        <w:rPr>
          <w:rFonts w:hint="eastAsia" w:ascii="Times New Roman" w:hAnsi="Times New Roman" w:eastAsia="楷体_GB2312"/>
          <w:b/>
          <w:color w:val="auto"/>
          <w:spacing w:val="-4"/>
          <w:sz w:val="32"/>
        </w:rPr>
        <w:t>（一）评价结论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jc w:val="both"/>
        <w:rPr>
          <w:rFonts w:hint="eastAsia" w:ascii="Times New Roman" w:hAnsi="Times New Roman" w:eastAsia="仿宋_GB2312"/>
          <w:spacing w:val="-4"/>
          <w:sz w:val="32"/>
        </w:rPr>
      </w:pPr>
      <w:r>
        <w:rPr>
          <w:rFonts w:hint="eastAsia" w:ascii="Times New Roman" w:hAnsi="Times New Roman" w:eastAsia="仿宋_GB2312"/>
          <w:spacing w:val="-4"/>
          <w:sz w:val="32"/>
          <w:lang w:val="en-US" w:eastAsia="zh-CN"/>
        </w:rPr>
        <w:t>此次绩效评价结果为“优秀”等次，建议在以后年度继续向上争取专项资金，促进我局全国文明城市创建工作有效推进</w:t>
      </w:r>
      <w:r>
        <w:rPr>
          <w:rFonts w:hint="eastAsia" w:ascii="Times New Roman" w:hAnsi="Times New Roman" w:eastAsia="仿宋_GB2312"/>
          <w:spacing w:val="-4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jc w:val="both"/>
        <w:rPr>
          <w:rFonts w:hint="default" w:ascii="Times New Roman" w:hAnsi="Times New Roman" w:eastAsia="宋体"/>
          <w:spacing w:val="-4"/>
          <w:lang w:val="en-US" w:eastAsia="zh-CN"/>
        </w:rPr>
      </w:pPr>
      <w:r>
        <w:rPr>
          <w:rFonts w:hint="eastAsia" w:ascii="Times New Roman" w:hAnsi="Times New Roman" w:eastAsia="楷体_GB2312"/>
          <w:b/>
          <w:spacing w:val="-4"/>
          <w:sz w:val="32"/>
          <w:lang w:eastAsia="zh-CN"/>
        </w:rPr>
        <w:t>（</w:t>
      </w:r>
      <w:r>
        <w:rPr>
          <w:rFonts w:hint="eastAsia" w:ascii="Times New Roman" w:hAnsi="Times New Roman" w:eastAsia="楷体_GB2312"/>
          <w:b/>
          <w:spacing w:val="-4"/>
          <w:sz w:val="32"/>
          <w:lang w:val="en-US" w:eastAsia="zh-CN"/>
        </w:rPr>
        <w:t>二</w:t>
      </w:r>
      <w:r>
        <w:rPr>
          <w:rFonts w:hint="eastAsia" w:ascii="Times New Roman" w:hAnsi="Times New Roman" w:eastAsia="楷体_GB2312"/>
          <w:b/>
          <w:spacing w:val="-4"/>
          <w:sz w:val="32"/>
          <w:lang w:eastAsia="zh-CN"/>
        </w:rPr>
        <w:t>）</w:t>
      </w:r>
      <w:r>
        <w:rPr>
          <w:rFonts w:hint="eastAsia" w:ascii="Times New Roman" w:hAnsi="Times New Roman" w:eastAsia="楷体_GB2312"/>
          <w:b/>
          <w:spacing w:val="-4"/>
          <w:sz w:val="32"/>
        </w:rPr>
        <w:t>存在的问题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rPr>
          <w:rFonts w:hint="eastAsia" w:ascii="Times New Roman" w:hAnsi="Times New Roman" w:eastAsia="仿宋_GB2312"/>
          <w:spacing w:val="-4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pacing w:val="-4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个别商贸流通企业创建意识不强，认识有待提高。</w:t>
      </w:r>
      <w:r>
        <w:rPr>
          <w:rFonts w:hint="eastAsia" w:ascii="Times New Roman" w:hAnsi="Times New Roman" w:eastAsia="仿宋_GB2312"/>
          <w:b/>
          <w:bCs/>
          <w:spacing w:val="-4"/>
          <w:sz w:val="32"/>
          <w:szCs w:val="32"/>
          <w:lang w:val="en-US" w:eastAsia="zh-CN"/>
        </w:rPr>
        <w:t>二是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个别受检商超基础设施简陋或缺失。比如威斯特商场、吉优玛特超市等无公共卫生间。</w:t>
      </w:r>
      <w:r>
        <w:rPr>
          <w:rFonts w:hint="eastAsia" w:ascii="Times New Roman" w:hAnsi="Times New Roman" w:eastAsia="仿宋_GB2312"/>
          <w:b/>
          <w:bCs/>
          <w:spacing w:val="-4"/>
          <w:sz w:val="32"/>
          <w:szCs w:val="32"/>
          <w:lang w:val="en-US" w:eastAsia="zh-CN"/>
        </w:rPr>
        <w:t>三是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个别受检企业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志愿服务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意识不到位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存在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志愿服务软件资料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不完善等情况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rPr>
          <w:rFonts w:hint="eastAsia" w:ascii="Times New Roman" w:hAnsi="Times New Roman" w:eastAsia="楷体_GB2312" w:cs="Times New Roman"/>
          <w:b/>
          <w:color w:val="000000"/>
          <w:spacing w:val="-4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color w:val="000000"/>
          <w:spacing w:val="-4"/>
          <w:kern w:val="2"/>
          <w:sz w:val="32"/>
          <w:szCs w:val="24"/>
          <w:lang w:val="en-US" w:eastAsia="zh-CN" w:bidi="ar-SA"/>
        </w:rPr>
        <w:t>（三）工作建议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firstLine="627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b/>
          <w:bCs/>
          <w:spacing w:val="-4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进一步深化认识，指导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商贸流通企业以及包联小区进一步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做好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创建工作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；</w:t>
      </w:r>
      <w:r>
        <w:rPr>
          <w:rFonts w:hint="eastAsia" w:ascii="Times New Roman" w:hAnsi="Times New Roman" w:eastAsia="仿宋_GB2312"/>
          <w:b/>
          <w:bCs/>
          <w:spacing w:val="-4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督促企业切实履行创建主体责任，进一步改造提升基础设施；</w:t>
      </w:r>
      <w:r>
        <w:rPr>
          <w:rFonts w:hint="eastAsia" w:ascii="Times New Roman" w:hAnsi="Times New Roman" w:eastAsia="仿宋_GB2312"/>
          <w:b/>
          <w:bCs/>
          <w:spacing w:val="-4"/>
          <w:sz w:val="32"/>
          <w:szCs w:val="32"/>
          <w:lang w:val="en-US" w:eastAsia="zh-CN"/>
        </w:rPr>
        <w:t>三是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不定期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开展志愿服务常态化督查，提高</w:t>
      </w:r>
      <w:r>
        <w:rPr>
          <w:rFonts w:hint="eastAsia" w:ascii="Times New Roman" w:hAnsi="Times New Roman" w:eastAsia="仿宋_GB2312"/>
          <w:spacing w:val="-4"/>
          <w:sz w:val="32"/>
          <w:szCs w:val="32"/>
          <w:lang w:val="en-US" w:eastAsia="zh-CN"/>
        </w:rPr>
        <w:t>商贸流通企业</w:t>
      </w:r>
      <w:r>
        <w:rPr>
          <w:rFonts w:hint="eastAsia" w:ascii="Times New Roman" w:hAnsi="Times New Roman" w:eastAsia="仿宋_GB2312"/>
          <w:spacing w:val="-4"/>
          <w:sz w:val="32"/>
          <w:szCs w:val="32"/>
        </w:rPr>
        <w:t>的重视度。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spacing w:line="590" w:lineRule="exact"/>
        <w:ind w:left="0" w:leftChars="0" w:firstLine="624" w:firstLineChars="2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2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624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大英县商务和经济合作局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left="0" w:leftChars="0" w:right="0" w:firstLine="624" w:firstLineChars="200"/>
        <w:jc w:val="right"/>
        <w:rPr>
          <w:rFonts w:hint="default" w:ascii="Times New Roman" w:hAnsi="Times New Roman" w:cs="Times New Roman"/>
          <w:spacing w:val="-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日        </w:t>
      </w:r>
    </w:p>
    <w:sectPr>
      <w:footerReference r:id="rId3" w:type="default"/>
      <w:pgSz w:w="11906" w:h="16838"/>
      <w:pgMar w:top="1928" w:right="1474" w:bottom="1928" w:left="1587" w:header="851" w:footer="992" w:gutter="0"/>
      <w:pgNumType w:fmt="decimal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-351790</wp:posOffset>
              </wp:positionV>
              <wp:extent cx="1008380" cy="4451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8380" cy="445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590" w:lineRule="exact"/>
                            <w:ind w:left="210" w:leftChars="100" w:right="210" w:rightChars="100" w:firstLine="0" w:firstLineChars="0"/>
                            <w:textAlignment w:val="baseline"/>
                            <w:rPr>
                              <w:rFonts w:hint="default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7.7pt;height:35.05pt;width:79.4pt;mso-position-horizontal:outside;mso-position-horizontal-relative:margin;z-index:251659264;mso-width-relative:page;mso-height-relative:page;" filled="f" stroked="f" coordsize="21600,21600" o:gfxdata="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BuPC71gAAAAcBAAAPAAAAAAAAAAEAIAAAACIAAABkcnMvZG93bnJl&#10;di54bWxQSwECFAAUAAAACACHTuJAjogzqTgCAABi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590" w:lineRule="exact"/>
                      <w:ind w:left="210" w:leftChars="100" w:right="210" w:rightChars="100" w:firstLine="0" w:firstLineChars="0"/>
                      <w:textAlignment w:val="baseline"/>
                      <w:rPr>
                        <w:rFonts w:hint="default" w:eastAsia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73B1F3"/>
    <w:multiLevelType w:val="singleLevel"/>
    <w:tmpl w:val="F973B1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jYmFlYzg3MjgwODU1OWNhYWQyNDBiOWEwZjUwZTgifQ=="/>
  </w:docVars>
  <w:rsids>
    <w:rsidRoot w:val="00000000"/>
    <w:rsid w:val="00531C09"/>
    <w:rsid w:val="00AA3CEC"/>
    <w:rsid w:val="01145609"/>
    <w:rsid w:val="01193968"/>
    <w:rsid w:val="01DF6163"/>
    <w:rsid w:val="02A66735"/>
    <w:rsid w:val="031A67DB"/>
    <w:rsid w:val="04BC470B"/>
    <w:rsid w:val="04BD4777"/>
    <w:rsid w:val="051C166B"/>
    <w:rsid w:val="05485881"/>
    <w:rsid w:val="055E32F7"/>
    <w:rsid w:val="07D77390"/>
    <w:rsid w:val="096536DF"/>
    <w:rsid w:val="097529BD"/>
    <w:rsid w:val="097B59CD"/>
    <w:rsid w:val="0ABD0AEE"/>
    <w:rsid w:val="0AE20526"/>
    <w:rsid w:val="0B974D33"/>
    <w:rsid w:val="0BCE2CA4"/>
    <w:rsid w:val="0DEC10D3"/>
    <w:rsid w:val="0E0D1416"/>
    <w:rsid w:val="0F15307B"/>
    <w:rsid w:val="100B7BD7"/>
    <w:rsid w:val="103F3D25"/>
    <w:rsid w:val="110F6424"/>
    <w:rsid w:val="11875DAA"/>
    <w:rsid w:val="11F8447C"/>
    <w:rsid w:val="12A8795F"/>
    <w:rsid w:val="12F504CF"/>
    <w:rsid w:val="15510782"/>
    <w:rsid w:val="15D82EC7"/>
    <w:rsid w:val="17143815"/>
    <w:rsid w:val="17471E3D"/>
    <w:rsid w:val="174A7237"/>
    <w:rsid w:val="19037FE5"/>
    <w:rsid w:val="19131119"/>
    <w:rsid w:val="193006AE"/>
    <w:rsid w:val="19616ABA"/>
    <w:rsid w:val="1AE33D18"/>
    <w:rsid w:val="1C095F04"/>
    <w:rsid w:val="1C4032FE"/>
    <w:rsid w:val="1D41732E"/>
    <w:rsid w:val="1D9E78F3"/>
    <w:rsid w:val="1EA21E17"/>
    <w:rsid w:val="1EB54D87"/>
    <w:rsid w:val="1EC458CD"/>
    <w:rsid w:val="1EF06916"/>
    <w:rsid w:val="207B0778"/>
    <w:rsid w:val="207B3599"/>
    <w:rsid w:val="21EB1616"/>
    <w:rsid w:val="236A005D"/>
    <w:rsid w:val="24A361D8"/>
    <w:rsid w:val="252C0F6A"/>
    <w:rsid w:val="25BA1A2C"/>
    <w:rsid w:val="2672725A"/>
    <w:rsid w:val="26AD4B6D"/>
    <w:rsid w:val="27651E6B"/>
    <w:rsid w:val="29431E0C"/>
    <w:rsid w:val="2BBC53B4"/>
    <w:rsid w:val="2C5D5807"/>
    <w:rsid w:val="2D12214D"/>
    <w:rsid w:val="2D834DF9"/>
    <w:rsid w:val="2D9D235F"/>
    <w:rsid w:val="2E29215B"/>
    <w:rsid w:val="2E7208DD"/>
    <w:rsid w:val="2EAF04A9"/>
    <w:rsid w:val="2F320885"/>
    <w:rsid w:val="2FE30343"/>
    <w:rsid w:val="30C24D10"/>
    <w:rsid w:val="312E32CE"/>
    <w:rsid w:val="31BC65A2"/>
    <w:rsid w:val="320C5FEA"/>
    <w:rsid w:val="32211AEF"/>
    <w:rsid w:val="32CE6D0B"/>
    <w:rsid w:val="335F00B6"/>
    <w:rsid w:val="33EF143A"/>
    <w:rsid w:val="3464257F"/>
    <w:rsid w:val="347E456C"/>
    <w:rsid w:val="348257DA"/>
    <w:rsid w:val="348477E9"/>
    <w:rsid w:val="355F7EFA"/>
    <w:rsid w:val="36BB1BF3"/>
    <w:rsid w:val="38455ACD"/>
    <w:rsid w:val="39382F3B"/>
    <w:rsid w:val="39767E7C"/>
    <w:rsid w:val="3A345DF9"/>
    <w:rsid w:val="3A405292"/>
    <w:rsid w:val="3A64017E"/>
    <w:rsid w:val="3B31058A"/>
    <w:rsid w:val="3C257287"/>
    <w:rsid w:val="3C850EBF"/>
    <w:rsid w:val="3CB66F99"/>
    <w:rsid w:val="3DA908AC"/>
    <w:rsid w:val="3DAB63CE"/>
    <w:rsid w:val="3DE713D4"/>
    <w:rsid w:val="3E3143FD"/>
    <w:rsid w:val="3E391C30"/>
    <w:rsid w:val="4005796A"/>
    <w:rsid w:val="40262D2C"/>
    <w:rsid w:val="40E15AB2"/>
    <w:rsid w:val="4290203A"/>
    <w:rsid w:val="42AF6323"/>
    <w:rsid w:val="42E12896"/>
    <w:rsid w:val="45066278"/>
    <w:rsid w:val="455A490C"/>
    <w:rsid w:val="45823519"/>
    <w:rsid w:val="45B918A8"/>
    <w:rsid w:val="45F1078A"/>
    <w:rsid w:val="46CE7C01"/>
    <w:rsid w:val="480037BE"/>
    <w:rsid w:val="495C2806"/>
    <w:rsid w:val="498A7E02"/>
    <w:rsid w:val="4A6022F2"/>
    <w:rsid w:val="4AC733C6"/>
    <w:rsid w:val="4AE66C9B"/>
    <w:rsid w:val="4BED60EF"/>
    <w:rsid w:val="4C835767"/>
    <w:rsid w:val="4D152177"/>
    <w:rsid w:val="4E8D742E"/>
    <w:rsid w:val="4E9B4950"/>
    <w:rsid w:val="4F8D65A8"/>
    <w:rsid w:val="5054659D"/>
    <w:rsid w:val="51295B34"/>
    <w:rsid w:val="514C537E"/>
    <w:rsid w:val="52C553E8"/>
    <w:rsid w:val="53A75290"/>
    <w:rsid w:val="53DF24DA"/>
    <w:rsid w:val="54204120"/>
    <w:rsid w:val="55EB785C"/>
    <w:rsid w:val="56081147"/>
    <w:rsid w:val="56D13385"/>
    <w:rsid w:val="57362D58"/>
    <w:rsid w:val="57494FF9"/>
    <w:rsid w:val="575651A9"/>
    <w:rsid w:val="59280E6F"/>
    <w:rsid w:val="599E6336"/>
    <w:rsid w:val="5A960A17"/>
    <w:rsid w:val="5ABB5323"/>
    <w:rsid w:val="5AF3622C"/>
    <w:rsid w:val="5B331489"/>
    <w:rsid w:val="5CE43E71"/>
    <w:rsid w:val="5D066D29"/>
    <w:rsid w:val="5D756040"/>
    <w:rsid w:val="5EF05EE3"/>
    <w:rsid w:val="5F12261D"/>
    <w:rsid w:val="5F441D8B"/>
    <w:rsid w:val="5F4B4EC7"/>
    <w:rsid w:val="5FC86518"/>
    <w:rsid w:val="60100FF8"/>
    <w:rsid w:val="601B6F8F"/>
    <w:rsid w:val="60C413D5"/>
    <w:rsid w:val="60E5134B"/>
    <w:rsid w:val="619A2136"/>
    <w:rsid w:val="61BE30C3"/>
    <w:rsid w:val="61D45648"/>
    <w:rsid w:val="62943029"/>
    <w:rsid w:val="63DA0F0F"/>
    <w:rsid w:val="63FD075A"/>
    <w:rsid w:val="6470717E"/>
    <w:rsid w:val="64B045D6"/>
    <w:rsid w:val="66786720"/>
    <w:rsid w:val="67CC2C65"/>
    <w:rsid w:val="699B6D7C"/>
    <w:rsid w:val="69D97992"/>
    <w:rsid w:val="69EC7BB7"/>
    <w:rsid w:val="6A8B2F63"/>
    <w:rsid w:val="6B8005EE"/>
    <w:rsid w:val="6B800DA2"/>
    <w:rsid w:val="6C1402F2"/>
    <w:rsid w:val="6C1A00FB"/>
    <w:rsid w:val="6CEB0F53"/>
    <w:rsid w:val="6E5B49FB"/>
    <w:rsid w:val="6F6E5ACD"/>
    <w:rsid w:val="6FB27894"/>
    <w:rsid w:val="6FDD600F"/>
    <w:rsid w:val="71010E89"/>
    <w:rsid w:val="72007CAB"/>
    <w:rsid w:val="72347A3D"/>
    <w:rsid w:val="728A58AF"/>
    <w:rsid w:val="72B621DC"/>
    <w:rsid w:val="73ED07EB"/>
    <w:rsid w:val="75267B11"/>
    <w:rsid w:val="758B4081"/>
    <w:rsid w:val="77FE2FC7"/>
    <w:rsid w:val="78620F50"/>
    <w:rsid w:val="787E17C8"/>
    <w:rsid w:val="7B762E74"/>
    <w:rsid w:val="7BEC6BEE"/>
    <w:rsid w:val="7C0C5586"/>
    <w:rsid w:val="7E4E183B"/>
    <w:rsid w:val="7F385010"/>
    <w:rsid w:val="7F39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1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next w:val="1"/>
    <w:autoRedefine/>
    <w:qFormat/>
    <w:uiPriority w:val="0"/>
    <w:pPr>
      <w:spacing w:line="560" w:lineRule="exact"/>
      <w:ind w:firstLine="640" w:firstLineChars="200"/>
    </w:pPr>
    <w:rPr>
      <w:rFonts w:eastAsia="方正仿宋简体"/>
      <w:sz w:val="32"/>
      <w:szCs w:val="21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ody Text Indent 2"/>
    <w:basedOn w:val="1"/>
    <w:next w:val="1"/>
    <w:qFormat/>
    <w:uiPriority w:val="0"/>
    <w:pPr>
      <w:spacing w:after="120" w:line="480" w:lineRule="auto"/>
      <w:ind w:left="200" w:leftChars="200"/>
    </w:pPr>
    <w:rPr>
      <w:rFonts w:ascii="Calibri" w:hAnsi="Calibri" w:eastAsia="宋体" w:cs="宋体"/>
      <w:sz w:val="21"/>
      <w:szCs w:val="22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 2"/>
    <w:basedOn w:val="5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5">
    <w:name w:val="footer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customStyle="1" w:styleId="17">
    <w:name w:val="章标题"/>
    <w:basedOn w:val="1"/>
    <w:next w:val="1"/>
    <w:autoRedefine/>
    <w:qFormat/>
    <w:uiPriority w:val="99"/>
    <w:pPr>
      <w:spacing w:before="158" w:after="153" w:line="323" w:lineRule="atLeast"/>
      <w:ind w:right="-120"/>
      <w:jc w:val="center"/>
      <w:textAlignment w:val="baseline"/>
    </w:pPr>
    <w:rPr>
      <w:color w:val="FF0000"/>
      <w:sz w:val="18"/>
    </w:rPr>
  </w:style>
  <w:style w:type="paragraph" w:customStyle="1" w:styleId="18">
    <w:name w:val="节标题"/>
    <w:basedOn w:val="1"/>
    <w:next w:val="1"/>
    <w:autoRedefine/>
    <w:qFormat/>
    <w:uiPriority w:val="99"/>
    <w:pPr>
      <w:spacing w:line="289" w:lineRule="atLeast"/>
      <w:jc w:val="center"/>
      <w:textAlignment w:val="baseline"/>
    </w:pPr>
    <w:rPr>
      <w:color w:val="000000"/>
      <w:sz w:val="28"/>
    </w:rPr>
  </w:style>
  <w:style w:type="paragraph" w:customStyle="1" w:styleId="19">
    <w:name w:val="UserStyle_0"/>
    <w:basedOn w:val="20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宋体" w:hAnsi="宋体" w:eastAsia="宋体"/>
      <w:kern w:val="2"/>
      <w:sz w:val="21"/>
      <w:szCs w:val="24"/>
      <w:lang w:val="en-US" w:eastAsia="zh-CN" w:bidi="ar-SA"/>
    </w:rPr>
  </w:style>
  <w:style w:type="paragraph" w:customStyle="1" w:styleId="20">
    <w:name w:val="UserStyle_1"/>
    <w:basedOn w:val="1"/>
    <w:autoRedefine/>
    <w:qFormat/>
    <w:uiPriority w:val="0"/>
    <w:pPr>
      <w:spacing w:line="240" w:lineRule="auto"/>
      <w:ind w:firstLine="600" w:firstLineChars="200"/>
      <w:jc w:val="both"/>
      <w:textAlignment w:val="baseline"/>
    </w:pPr>
    <w:rPr>
      <w:rFonts w:ascii="宋体" w:hAnsi="宋体" w:eastAsia="仿宋_GB2312"/>
      <w:kern w:val="2"/>
      <w:sz w:val="30"/>
      <w:szCs w:val="24"/>
      <w:lang w:val="en-US" w:eastAsia="zh-CN" w:bidi="ar-SA"/>
    </w:rPr>
  </w:style>
  <w:style w:type="character" w:customStyle="1" w:styleId="21">
    <w:name w:val="NormalCharacter"/>
    <w:link w:val="1"/>
    <w:autoRedefine/>
    <w:semiHidden/>
    <w:qFormat/>
    <w:uiPriority w:val="0"/>
  </w:style>
  <w:style w:type="table" w:customStyle="1" w:styleId="22">
    <w:name w:val="TableNormal"/>
    <w:autoRedefine/>
    <w:semiHidden/>
    <w:qFormat/>
    <w:uiPriority w:val="0"/>
  </w:style>
  <w:style w:type="paragraph" w:customStyle="1" w:styleId="23">
    <w:name w:val="UserStyle_2"/>
    <w:basedOn w:val="1"/>
    <w:next w:val="1"/>
    <w:autoRedefine/>
    <w:qFormat/>
    <w:uiPriority w:val="0"/>
    <w:pPr>
      <w:spacing w:line="560" w:lineRule="exact"/>
      <w:ind w:firstLine="640" w:firstLineChars="200"/>
      <w:jc w:val="both"/>
      <w:textAlignment w:val="baseline"/>
    </w:pPr>
    <w:rPr>
      <w:rFonts w:ascii="Times New Roman" w:hAnsi="Times New Roman" w:eastAsia="方正仿宋简体"/>
      <w:kern w:val="2"/>
      <w:sz w:val="21"/>
      <w:szCs w:val="24"/>
      <w:lang w:val="en-US" w:eastAsia="zh-CN" w:bidi="ar-SA"/>
    </w:rPr>
  </w:style>
  <w:style w:type="paragraph" w:customStyle="1" w:styleId="24">
    <w:name w:val="Body text|1"/>
    <w:basedOn w:val="1"/>
    <w:qFormat/>
    <w:uiPriority w:val="0"/>
    <w:pPr>
      <w:spacing w:line="451" w:lineRule="auto"/>
      <w:ind w:firstLine="400"/>
      <w:jc w:val="left"/>
    </w:pPr>
    <w:rPr>
      <w:rFonts w:ascii="宋体" w:hAnsi="宋体" w:eastAsia="宋体" w:cs="宋体"/>
      <w:sz w:val="26"/>
      <w:szCs w:val="26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2426</Words>
  <Characters>2550</Characters>
  <Lines>0</Lines>
  <Paragraphs>0</Paragraphs>
  <TotalTime>25</TotalTime>
  <ScaleCrop>false</ScaleCrop>
  <LinksUpToDate>false</LinksUpToDate>
  <CharactersWithSpaces>2562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2020-05-14T06:18:00Z</dcterms:created>
  <dc:creator>Administrator</dc:creator>
  <cp:lastModifiedBy>zhulingxi3</cp:lastModifiedBy>
  <cp:lastPrinted>2024-05-09T09:10:29Z</cp:lastPrinted>
  <dcterms:modified xsi:type="dcterms:W3CDTF">2024-05-09T09:10:36Z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0DFFA4D2F76048A988E12517CECD47E0_13</vt:lpwstr>
  </property>
</Properties>
</file>